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03" w:rsidRDefault="005F4003" w:rsidP="005F4003">
      <w:pPr>
        <w:shd w:val="clear" w:color="auto" w:fill="FFFFFF"/>
        <w:spacing w:before="85" w:after="85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3409950" cy="1190625"/>
            <wp:effectExtent l="171450" t="133350" r="361950" b="314325"/>
            <wp:docPr id="2" name="Image 2" descr="C:\Users\DELL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4003" w:rsidRDefault="005F4003" w:rsidP="005F4003">
      <w:pPr>
        <w:shd w:val="clear" w:color="auto" w:fill="FFFFFF"/>
        <w:spacing w:before="85" w:after="85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5F4003" w:rsidRPr="00832092" w:rsidRDefault="005F4003" w:rsidP="005F4003">
      <w:pPr>
        <w:shd w:val="clear" w:color="auto" w:fill="FFFFFF"/>
        <w:spacing w:before="85" w:after="85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Le programme Horizon 2020 soutient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 les projets tout au long de la chaîne de l'innovation</w:t>
      </w:r>
      <w:r w:rsidRPr="00832092">
        <w:rPr>
          <w:rFonts w:asciiTheme="majorBidi" w:hAnsiTheme="majorBidi" w:cstheme="majorBidi"/>
          <w:sz w:val="24"/>
          <w:szCs w:val="24"/>
        </w:rPr>
        <w:t> et veut rationaliser les financements en faveur de la croissance.</w:t>
      </w:r>
    </w:p>
    <w:p w:rsidR="005F4003" w:rsidRPr="00832092" w:rsidRDefault="005F4003" w:rsidP="005F4003">
      <w:pPr>
        <w:shd w:val="clear" w:color="auto" w:fill="FFFFFF"/>
        <w:spacing w:before="85" w:after="85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Il a simplifié 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l'accès aux financements</w:t>
      </w:r>
      <w:r w:rsidRPr="00832092">
        <w:rPr>
          <w:rFonts w:asciiTheme="majorBidi" w:hAnsiTheme="majorBidi" w:cstheme="majorBidi"/>
          <w:sz w:val="24"/>
          <w:szCs w:val="24"/>
        </w:rPr>
        <w:t> européens en accélérant l'attribution des financements, en réduisant le nombre d'erreurs dans la déclaration des coûts par les participants et en revenant à une politique d'audit plus mesurée et ciblée.</w:t>
      </w:r>
    </w:p>
    <w:p w:rsidR="005F4003" w:rsidRPr="00832092" w:rsidRDefault="005F4003" w:rsidP="005F4003">
      <w:pPr>
        <w:shd w:val="clear" w:color="auto" w:fill="FFFFFF"/>
        <w:spacing w:before="85" w:after="85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Le programme Horizon 2020 recentre les financements sur 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trois priorités</w:t>
      </w:r>
      <w:r w:rsidRPr="00832092">
        <w:rPr>
          <w:rFonts w:asciiTheme="majorBidi" w:hAnsiTheme="majorBidi" w:cstheme="majorBidi"/>
          <w:sz w:val="24"/>
          <w:szCs w:val="24"/>
        </w:rPr>
        <w:t> qui corres</w:t>
      </w:r>
      <w:r w:rsidRPr="005F4003">
        <w:rPr>
          <w:rFonts w:asciiTheme="majorBidi" w:hAnsiTheme="majorBidi" w:cstheme="majorBidi"/>
          <w:sz w:val="24"/>
          <w:szCs w:val="24"/>
        </w:rPr>
        <w:t>pondent aux attentes des différents acteurs</w:t>
      </w:r>
      <w:r w:rsidRPr="00832092">
        <w:rPr>
          <w:rFonts w:asciiTheme="majorBidi" w:hAnsiTheme="majorBidi" w:cstheme="majorBidi"/>
          <w:sz w:val="24"/>
          <w:szCs w:val="24"/>
        </w:rPr>
        <w:t> :</w:t>
      </w:r>
    </w:p>
    <w:p w:rsidR="005F4003" w:rsidRPr="00832092" w:rsidRDefault="005F4003" w:rsidP="005F400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l'"</w:t>
      </w:r>
      <w:r w:rsidRPr="00832092">
        <w:rPr>
          <w:rFonts w:asciiTheme="majorBidi" w:hAnsiTheme="majorBidi" w:cstheme="majorBidi"/>
          <w:b/>
          <w:bCs/>
          <w:color w:val="A704BF"/>
          <w:sz w:val="24"/>
          <w:szCs w:val="24"/>
          <w:bdr w:val="none" w:sz="0" w:space="0" w:color="auto" w:frame="1"/>
        </w:rPr>
        <w:t>Excellence scientifique</w:t>
      </w:r>
      <w:r w:rsidRPr="00832092">
        <w:rPr>
          <w:rFonts w:asciiTheme="majorBidi" w:hAnsiTheme="majorBidi" w:cstheme="majorBidi"/>
          <w:sz w:val="24"/>
          <w:szCs w:val="24"/>
        </w:rPr>
        <w:t>" : priorité ayant pour objectif 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d'élever le niveau d'excellence scientifique de l'Europe</w:t>
      </w:r>
      <w:r w:rsidRPr="00832092">
        <w:rPr>
          <w:rFonts w:asciiTheme="majorBidi" w:hAnsiTheme="majorBidi" w:cstheme="majorBidi"/>
          <w:sz w:val="24"/>
          <w:szCs w:val="24"/>
        </w:rPr>
        <w:t> pour garantir des recherches de classe mondiale à long terme, de soutenir les meilleures idées, de développer les talents en Europe, d'offrir aux chercheurs l'accès à des infrastructures de recherche prioritaires, de rendre l'Europe attrayante pour les meilleurs chercheurs du monde ;</w:t>
      </w:r>
    </w:p>
    <w:p w:rsidR="005F4003" w:rsidRPr="00832092" w:rsidRDefault="005F4003" w:rsidP="005F400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la "</w:t>
      </w:r>
      <w:r w:rsidRPr="00832092">
        <w:rPr>
          <w:rFonts w:asciiTheme="majorBidi" w:hAnsiTheme="majorBidi" w:cstheme="majorBidi"/>
          <w:b/>
          <w:bCs/>
          <w:color w:val="A704BF"/>
          <w:sz w:val="24"/>
          <w:szCs w:val="24"/>
          <w:bdr w:val="none" w:sz="0" w:space="0" w:color="auto" w:frame="1"/>
        </w:rPr>
        <w:t>Primauté industrielle</w:t>
      </w:r>
      <w:r w:rsidRPr="00832092">
        <w:rPr>
          <w:rFonts w:asciiTheme="majorBidi" w:hAnsiTheme="majorBidi" w:cstheme="majorBidi"/>
          <w:sz w:val="24"/>
          <w:szCs w:val="24"/>
        </w:rPr>
        <w:t>" : concerne les actions qui auront pour but de fournir des</w:t>
      </w:r>
      <w:r w:rsidRPr="005F4003">
        <w:rPr>
          <w:rFonts w:asciiTheme="majorBidi" w:hAnsiTheme="majorBidi" w:cstheme="majorBidi"/>
          <w:sz w:val="24"/>
          <w:szCs w:val="24"/>
        </w:rPr>
        <w:t xml:space="preserve"> 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investissements ciblés sur des technologies industrielles clés pour la compétitivité des entreprises européennes</w:t>
      </w:r>
      <w:r w:rsidRPr="00832092">
        <w:rPr>
          <w:rFonts w:asciiTheme="majorBidi" w:hAnsiTheme="majorBidi" w:cstheme="majorBidi"/>
          <w:sz w:val="24"/>
          <w:szCs w:val="24"/>
        </w:rPr>
        <w:t>, de relever les défis sociétaux, d'optimiser le potentiel de croissance des entreprises et d'aider les PME européennes innovantes à devenir des acteurs majeurs sur le marché mondial ;</w:t>
      </w:r>
    </w:p>
    <w:p w:rsidR="005F4003" w:rsidRPr="00832092" w:rsidRDefault="005F4003" w:rsidP="005F4003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832092">
        <w:rPr>
          <w:rFonts w:asciiTheme="majorBidi" w:hAnsiTheme="majorBidi" w:cstheme="majorBidi"/>
          <w:sz w:val="24"/>
          <w:szCs w:val="24"/>
        </w:rPr>
        <w:t>les "</w:t>
      </w:r>
      <w:r w:rsidRPr="00832092">
        <w:rPr>
          <w:rFonts w:asciiTheme="majorBidi" w:hAnsiTheme="majorBidi" w:cstheme="majorBidi"/>
          <w:b/>
          <w:bCs/>
          <w:color w:val="A704BF"/>
          <w:sz w:val="24"/>
          <w:szCs w:val="24"/>
          <w:bdr w:val="none" w:sz="0" w:space="0" w:color="auto" w:frame="1"/>
        </w:rPr>
        <w:t>Défis sociétaux</w:t>
      </w:r>
      <w:r w:rsidRPr="00832092">
        <w:rPr>
          <w:rFonts w:asciiTheme="majorBidi" w:hAnsiTheme="majorBidi" w:cstheme="majorBidi"/>
          <w:sz w:val="24"/>
          <w:szCs w:val="24"/>
        </w:rPr>
        <w:t>" : la recherche et l'innovation sont orientées vers la </w:t>
      </w:r>
      <w:r w:rsidRPr="00832092">
        <w:rPr>
          <w:rFonts w:asciiTheme="majorBidi" w:hAnsiTheme="majorBidi" w:cstheme="majorBidi"/>
          <w:b/>
          <w:bCs/>
          <w:sz w:val="24"/>
          <w:szCs w:val="24"/>
        </w:rPr>
        <w:t>réponse aux grands défis sociétaux </w:t>
      </w:r>
      <w:r w:rsidRPr="00832092">
        <w:rPr>
          <w:rFonts w:asciiTheme="majorBidi" w:hAnsiTheme="majorBidi" w:cstheme="majorBidi"/>
          <w:sz w:val="24"/>
          <w:szCs w:val="24"/>
        </w:rPr>
        <w:t>auxquels l'Europe est confrontée, plutôt qu'uniquement vers des disciplines scientifiques ou des secteurs technologiques. Aucun Etat membre ne peut prétendre les relever seul. C'est à ce niveau que l'articulation entre les programmations nationales et européenne est cruciale.</w:t>
      </w:r>
    </w:p>
    <w:p w:rsidR="00201832" w:rsidRDefault="005F4003"/>
    <w:sectPr w:rsidR="00201832" w:rsidSect="0042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737"/>
    <w:multiLevelType w:val="multilevel"/>
    <w:tmpl w:val="D59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003"/>
    <w:rsid w:val="00426B8F"/>
    <w:rsid w:val="00554425"/>
    <w:rsid w:val="005F4003"/>
    <w:rsid w:val="008E7E4D"/>
    <w:rsid w:val="00D3447C"/>
    <w:rsid w:val="00FC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40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0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Dhouha SBAOULJI</dc:creator>
  <cp:keywords/>
  <dc:description/>
  <cp:lastModifiedBy>Dhouha SBAOULJI</cp:lastModifiedBy>
  <cp:revision>2</cp:revision>
  <dcterms:created xsi:type="dcterms:W3CDTF">2016-08-26T09:04:00Z</dcterms:created>
  <dcterms:modified xsi:type="dcterms:W3CDTF">2016-08-26T09:14:00Z</dcterms:modified>
</cp:coreProperties>
</file>